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БОЛДЫРЕВСКИЙ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СЕЛЬСОВЕТ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6BF1" w:rsidRPr="00051647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С К О Й    О Б Л А С Т И</w:t>
            </w:r>
          </w:p>
          <w:p w:rsidR="009D6BF1" w:rsidRPr="00051647" w:rsidRDefault="00191764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="009D6BF1"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93192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374947" w:rsidRDefault="006143ED" w:rsidP="00810249">
            <w:pPr>
              <w:pStyle w:val="1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5715</wp:posOffset>
                      </wp:positionV>
                      <wp:extent cx="220980" cy="219710"/>
                      <wp:effectExtent l="14605" t="8890" r="13335" b="825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22098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9A8AFF" id="Group 2" o:spid="_x0000_s1026" style="position:absolute;margin-left:-4.55pt;margin-top:.45pt;width:17.4pt;height:17.3pt;rotation:-90;z-index:251660288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    <v:line id="Line 3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6350</wp:posOffset>
                      </wp:positionV>
                      <wp:extent cx="229870" cy="219710"/>
                      <wp:effectExtent l="13335" t="10160" r="13970" b="8255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19710"/>
                                <a:chOff x="5773" y="5905"/>
                                <a:chExt cx="362" cy="290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73" y="590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4" y="590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1ABF7C" id="Group 8" o:spid="_x0000_s1026" style="position:absolute;margin-left:210.65pt;margin-top:.5pt;width:18.1pt;height:17.3pt;z-index:251661312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    <v:line id="Line 9" o:spid="_x0000_s1027" style="position:absolute;visibility:visible;mso-wrap-style:squar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10" o:spid="_x0000_s1028" style="position:absolute;visibility:visible;mso-wrap-style:squar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="002C3CAF"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C3CAF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C3CAF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№ 38/136-рс от 21.11.2019 «Об утверждении Положения </w:t>
            </w:r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О земельном налоге муниципального образования </w:t>
            </w:r>
            <w:proofErr w:type="spellStart"/>
            <w:r w:rsidR="00810249">
              <w:rPr>
                <w:rFonts w:ascii="Times New Roman" w:hAnsi="Times New Roman" w:cs="Times New Roman"/>
                <w:sz w:val="28"/>
                <w:szCs w:val="28"/>
              </w:rPr>
              <w:t>Болдыревский</w:t>
            </w:r>
            <w:proofErr w:type="spell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10249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374947" w:rsidRPr="003749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  <w:r w:rsidR="002C3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9A3622" w:rsidRDefault="009A3622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2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374947" w:rsidRPr="00374947" w:rsidRDefault="00374947" w:rsidP="00374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947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Федеральным </w:t>
      </w:r>
      <w:hyperlink r:id="rId5" w:history="1">
        <w:r w:rsidRPr="00B36F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4947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74947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2C3CAF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прокуратуры, </w:t>
      </w:r>
      <w:r w:rsidRPr="00374947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Pr="003749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1024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74947">
        <w:rPr>
          <w:rFonts w:ascii="Times New Roman" w:hAnsi="Times New Roman" w:cs="Times New Roman"/>
          <w:sz w:val="28"/>
          <w:szCs w:val="28"/>
        </w:rPr>
        <w:t xml:space="preserve"> района Оренбургского района </w:t>
      </w:r>
    </w:p>
    <w:p w:rsidR="00374947" w:rsidRPr="002D5A2D" w:rsidRDefault="00374947" w:rsidP="003749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C3CAF" w:rsidRDefault="00374947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 xml:space="preserve">Внести в Положение о земельном налоге, утвержденным Решением Совета Депутатов муниципального образования </w:t>
      </w:r>
      <w:proofErr w:type="spellStart"/>
      <w:r w:rsidR="002C3CAF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2C3CA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C3CAF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C3CA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38/136-рс от 21.11.2019 (далее – Положение) следующие изменения:</w:t>
      </w:r>
    </w:p>
    <w:p w:rsidR="002C3CAF" w:rsidRDefault="002C3CAF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4 Положения дополнить пунктом 2.1 следующего содержания:</w:t>
      </w:r>
    </w:p>
    <w:p w:rsidR="002C3CAF" w:rsidRPr="002C3CAF" w:rsidRDefault="002C3CAF" w:rsidP="00374947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2C3CAF">
        <w:rPr>
          <w:rFonts w:ascii="Times New Roman" w:hAnsi="Times New Roman" w:cs="Times New Roman"/>
          <w:sz w:val="28"/>
          <w:szCs w:val="28"/>
        </w:rPr>
        <w:t xml:space="preserve">«2.1. </w:t>
      </w:r>
      <w:r w:rsidRPr="002C3CA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установленном пунктом 7 статьи 396 Налогового кодекса Российской Федерации.»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374947" w:rsidRPr="009A3622" w:rsidRDefault="002C3CAF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r w:rsidR="00374947" w:rsidRPr="001509D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374947" w:rsidRPr="001509D8">
        <w:rPr>
          <w:rFonts w:ascii="Times New Roman" w:hAnsi="Times New Roman" w:cs="Times New Roman"/>
          <w:sz w:val="28"/>
          <w:szCs w:val="28"/>
        </w:rPr>
        <w:t xml:space="preserve">на </w:t>
      </w:r>
      <w:r w:rsidR="009A3622">
        <w:rPr>
          <w:sz w:val="28"/>
          <w:szCs w:val="28"/>
        </w:rPr>
        <w:t xml:space="preserve"> </w:t>
      </w:r>
      <w:r w:rsidR="009A3622" w:rsidRPr="009A3622">
        <w:rPr>
          <w:rFonts w:ascii="Times New Roman" w:hAnsi="Times New Roman" w:cs="Times New Roman"/>
          <w:sz w:val="28"/>
          <w:szCs w:val="28"/>
        </w:rPr>
        <w:t>главу</w:t>
      </w:r>
      <w:proofErr w:type="gramEnd"/>
      <w:r w:rsidR="009A3622" w:rsidRPr="009A3622">
        <w:rPr>
          <w:rFonts w:ascii="Times New Roman" w:hAnsi="Times New Roman" w:cs="Times New Roman"/>
          <w:sz w:val="28"/>
          <w:szCs w:val="28"/>
        </w:rPr>
        <w:t xml:space="preserve"> </w:t>
      </w:r>
      <w:r w:rsidR="009A3622" w:rsidRPr="009A362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9A3622" w:rsidRPr="009A3622">
        <w:rPr>
          <w:rFonts w:ascii="Times New Roman" w:hAnsi="Times New Roman" w:cs="Times New Roman"/>
          <w:sz w:val="28"/>
          <w:szCs w:val="28"/>
        </w:rPr>
        <w:t>Болдыревский</w:t>
      </w:r>
      <w:proofErr w:type="spellEnd"/>
      <w:r w:rsidR="009A3622" w:rsidRPr="009A362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A3622" w:rsidRPr="009A3622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A3622" w:rsidRPr="009A362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Широкову Надежду Викторовну</w:t>
      </w:r>
      <w:r w:rsidR="009A3622">
        <w:rPr>
          <w:rFonts w:ascii="Times New Roman" w:hAnsi="Times New Roman" w:cs="Times New Roman"/>
          <w:sz w:val="28"/>
          <w:szCs w:val="28"/>
        </w:rPr>
        <w:t>.</w:t>
      </w:r>
    </w:p>
    <w:p w:rsidR="00E54C84" w:rsidRPr="000753DC" w:rsidRDefault="002C3CAF" w:rsidP="00E54C8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4C84">
        <w:rPr>
          <w:rFonts w:ascii="Times New Roman" w:hAnsi="Times New Roman" w:cs="Times New Roman"/>
          <w:sz w:val="28"/>
          <w:szCs w:val="28"/>
        </w:rPr>
        <w:t xml:space="preserve">. </w:t>
      </w:r>
      <w:r w:rsidR="00E54C84"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</w:t>
      </w:r>
      <w:r w:rsidR="00B36FA4">
        <w:rPr>
          <w:rFonts w:ascii="Times New Roman" w:hAnsi="Times New Roman" w:cs="Times New Roman"/>
          <w:sz w:val="28"/>
          <w:szCs w:val="28"/>
        </w:rPr>
        <w:t>да по земельному налогу.</w:t>
      </w:r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76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</w:t>
      </w:r>
      <w:r w:rsidR="0019176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191764">
        <w:rPr>
          <w:rFonts w:ascii="Times New Roman" w:hAnsi="Times New Roman" w:cs="Times New Roman"/>
          <w:sz w:val="28"/>
          <w:szCs w:val="28"/>
        </w:rPr>
        <w:t>Т.В.Бондарь</w:t>
      </w:r>
      <w:proofErr w:type="spellEnd"/>
    </w:p>
    <w:p w:rsidR="00E54C84" w:rsidRDefault="00E54C84" w:rsidP="00E54C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1764" w:rsidRDefault="00191764" w:rsidP="0019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Н.В.Широкова</w:t>
      </w:r>
      <w:proofErr w:type="spellEnd"/>
    </w:p>
    <w:p w:rsidR="00B36FA4" w:rsidRPr="00374947" w:rsidRDefault="00B36FA4" w:rsidP="00374947">
      <w:pPr>
        <w:rPr>
          <w:rFonts w:ascii="Times New Roman" w:hAnsi="Times New Roman" w:cs="Times New Roman"/>
          <w:sz w:val="28"/>
          <w:szCs w:val="28"/>
        </w:rPr>
      </w:pPr>
    </w:p>
    <w:sectPr w:rsidR="00B36FA4" w:rsidRPr="00374947" w:rsidSect="000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F1"/>
    <w:rsid w:val="00060602"/>
    <w:rsid w:val="00067D77"/>
    <w:rsid w:val="00191764"/>
    <w:rsid w:val="002C3CAF"/>
    <w:rsid w:val="002D5A2D"/>
    <w:rsid w:val="00374947"/>
    <w:rsid w:val="00402C15"/>
    <w:rsid w:val="00554101"/>
    <w:rsid w:val="006023A0"/>
    <w:rsid w:val="006143ED"/>
    <w:rsid w:val="007830F1"/>
    <w:rsid w:val="00810249"/>
    <w:rsid w:val="00931927"/>
    <w:rsid w:val="009A3622"/>
    <w:rsid w:val="009D6BF1"/>
    <w:rsid w:val="00AE5DBF"/>
    <w:rsid w:val="00B36FA4"/>
    <w:rsid w:val="00C713F7"/>
    <w:rsid w:val="00D16CB8"/>
    <w:rsid w:val="00DA30BF"/>
    <w:rsid w:val="00DB16F5"/>
    <w:rsid w:val="00E54C84"/>
    <w:rsid w:val="00E937CF"/>
    <w:rsid w:val="00F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A0963-7135-4729-8C99-C4199A18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D241E0024618076A6F0E6519EC3BBF15378EB76C58650A1192B4C09156F2859A5DE70A3A14F7772793DE24D727E1BCA08033BA53DE1293iC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2022-06-08T11:34:00Z</dcterms:created>
  <dcterms:modified xsi:type="dcterms:W3CDTF">2022-06-08T11:34:00Z</dcterms:modified>
</cp:coreProperties>
</file>